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1A27" w14:textId="77777777" w:rsidR="00A02528" w:rsidRPr="00111941" w:rsidRDefault="00A02528" w:rsidP="009440D9">
      <w:pPr>
        <w:rPr>
          <w:rFonts w:cstheme="minorHAnsi"/>
          <w:b/>
          <w:sz w:val="24"/>
          <w:szCs w:val="24"/>
          <w:lang w:val="vi-VN"/>
        </w:rPr>
      </w:pPr>
    </w:p>
    <w:p w14:paraId="65AD028F" w14:textId="77777777" w:rsidR="005F7F9F" w:rsidRPr="00111941" w:rsidRDefault="005F7F9F" w:rsidP="009440D9">
      <w:pPr>
        <w:rPr>
          <w:rFonts w:cstheme="minorHAnsi"/>
          <w:b/>
          <w:sz w:val="10"/>
          <w:szCs w:val="10"/>
          <w:lang w:val="vi-VN"/>
        </w:rPr>
      </w:pPr>
    </w:p>
    <w:p w14:paraId="1FD6051B" w14:textId="77777777" w:rsidR="00F243B0" w:rsidRPr="00111941" w:rsidRDefault="00D32CFB" w:rsidP="00F243B0">
      <w:pPr>
        <w:spacing w:after="0"/>
        <w:rPr>
          <w:rFonts w:cstheme="minorHAnsi"/>
          <w:b/>
          <w:lang w:val="vi-VN"/>
        </w:rPr>
      </w:pPr>
      <w:r w:rsidRPr="00111941">
        <w:rPr>
          <w:rFonts w:cstheme="minorHAnsi"/>
          <w:noProof/>
          <w:lang w:eastAsia="zh-TW"/>
        </w:rPr>
        <w:drawing>
          <wp:anchor distT="0" distB="0" distL="114300" distR="114300" simplePos="0" relativeHeight="251658240" behindDoc="0" locked="1" layoutInCell="1" allowOverlap="0" wp14:anchorId="0BFF4758" wp14:editId="1D52F8E8">
            <wp:simplePos x="0" y="0"/>
            <wp:positionH relativeFrom="column">
              <wp:posOffset>0</wp:posOffset>
            </wp:positionH>
            <wp:positionV relativeFrom="page">
              <wp:posOffset>1743075</wp:posOffset>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3B0" w:rsidRPr="00111941">
        <w:rPr>
          <w:rFonts w:cstheme="minorHAnsi"/>
          <w:b/>
          <w:lang w:val="vi-VN" w:bidi="vi-VN"/>
        </w:rPr>
        <w:t>ĐỂ PHÁT HÀNH NGAY</w:t>
      </w:r>
    </w:p>
    <w:p w14:paraId="4A0F0AC4" w14:textId="63FDEF66" w:rsidR="009440D9" w:rsidRPr="00111941" w:rsidRDefault="001A5486" w:rsidP="00F243B0">
      <w:pPr>
        <w:spacing w:after="0"/>
        <w:rPr>
          <w:rFonts w:cstheme="minorHAnsi"/>
          <w:b/>
          <w:lang w:val="vi-VN"/>
        </w:rPr>
      </w:pPr>
      <w:r w:rsidRPr="00111941">
        <w:rPr>
          <w:rFonts w:cstheme="minorHAnsi"/>
          <w:lang w:val="vi-VN" w:bidi="vi-VN"/>
        </w:rPr>
        <w:t xml:space="preserve">Ngày 13 tháng 5 năm 2020 </w:t>
      </w:r>
      <w:r w:rsidRPr="00111941">
        <w:rPr>
          <w:rFonts w:cstheme="minorHAnsi"/>
          <w:lang w:val="vi-VN" w:bidi="vi-VN"/>
        </w:rPr>
        <w:tab/>
      </w:r>
    </w:p>
    <w:p w14:paraId="7FF531D1" w14:textId="68DCD161" w:rsidR="00AD180D" w:rsidRPr="00111941" w:rsidRDefault="00F243B0" w:rsidP="00F243B0">
      <w:pPr>
        <w:tabs>
          <w:tab w:val="left" w:pos="1866"/>
        </w:tabs>
        <w:spacing w:after="0" w:line="240" w:lineRule="auto"/>
        <w:rPr>
          <w:rFonts w:cstheme="minorHAnsi"/>
          <w:lang w:val="vi-VN"/>
        </w:rPr>
      </w:pPr>
      <w:r w:rsidRPr="00111941">
        <w:rPr>
          <w:rFonts w:cstheme="minorHAnsi"/>
          <w:lang w:val="vi-VN" w:bidi="vi-VN"/>
        </w:rPr>
        <w:t>NGƯỜI LIÊN HỆ TRUYỀN THÔNG: Margaux Weeke, 503-823-8603</w:t>
      </w:r>
    </w:p>
    <w:p w14:paraId="45F4E42C" w14:textId="74D9BFA2" w:rsidR="00F243B0" w:rsidRPr="00111941" w:rsidRDefault="00267D38" w:rsidP="00F243B0">
      <w:pPr>
        <w:tabs>
          <w:tab w:val="left" w:pos="1866"/>
        </w:tabs>
        <w:spacing w:after="0" w:line="240" w:lineRule="auto"/>
        <w:rPr>
          <w:rFonts w:cstheme="minorHAnsi"/>
          <w:lang w:val="vi-VN"/>
        </w:rPr>
      </w:pPr>
      <w:r>
        <w:rPr>
          <w:rFonts w:cstheme="minorHAnsi"/>
          <w:lang w:val="vi-VN" w:bidi="vi-VN"/>
        </w:rPr>
        <w:tab/>
      </w:r>
      <w:r>
        <w:rPr>
          <w:rFonts w:cstheme="minorHAnsi"/>
          <w:lang w:val="vi-VN" w:bidi="vi-VN"/>
        </w:rPr>
        <w:tab/>
      </w:r>
      <w:r>
        <w:rPr>
          <w:rFonts w:cstheme="minorHAnsi"/>
          <w:lang w:val="vi-VN" w:bidi="vi-VN"/>
        </w:rPr>
        <w:tab/>
      </w:r>
      <w:r>
        <w:rPr>
          <w:rFonts w:cstheme="minorHAnsi"/>
          <w:lang w:val="vi-VN" w:bidi="vi-VN"/>
        </w:rPr>
        <w:tab/>
      </w:r>
      <w:r>
        <w:rPr>
          <w:rFonts w:cstheme="minorHAnsi"/>
          <w:lang w:bidi="vi-VN"/>
        </w:rPr>
        <w:t xml:space="preserve">         </w:t>
      </w:r>
      <w:r w:rsidR="00AD180D" w:rsidRPr="00111941">
        <w:rPr>
          <w:rFonts w:cstheme="minorHAnsi"/>
          <w:lang w:val="vi-VN" w:bidi="vi-VN"/>
        </w:rPr>
        <w:t>margaux.weeke@portlandoregon.gov</w:t>
      </w:r>
    </w:p>
    <w:p w14:paraId="7CBA8CAE" w14:textId="77777777" w:rsidR="00D27CD5" w:rsidRPr="00111941" w:rsidRDefault="00D27CD5" w:rsidP="00536977">
      <w:pPr>
        <w:pStyle w:val="ListParagraph"/>
        <w:ind w:right="1440"/>
        <w:rPr>
          <w:rFonts w:asciiTheme="minorHAnsi" w:hAnsiTheme="minorHAnsi" w:cstheme="minorHAnsi"/>
          <w:sz w:val="16"/>
          <w:szCs w:val="16"/>
          <w:lang w:val="vi-VN"/>
        </w:rPr>
      </w:pPr>
    </w:p>
    <w:p w14:paraId="0FC9E4C7" w14:textId="77777777" w:rsidR="00F243B0" w:rsidRPr="00111941" w:rsidRDefault="00F243B0" w:rsidP="00F243B0">
      <w:pPr>
        <w:ind w:right="1440"/>
        <w:jc w:val="center"/>
        <w:rPr>
          <w:rFonts w:cstheme="minorHAnsi"/>
          <w:b/>
          <w:lang w:val="vi-VN"/>
        </w:rPr>
      </w:pPr>
      <w:r w:rsidRPr="00111941">
        <w:rPr>
          <w:rFonts w:cstheme="minorHAnsi"/>
          <w:b/>
          <w:lang w:val="vi-VN" w:bidi="vi-VN"/>
        </w:rPr>
        <w:t>Thành Phố Portland được Trao Nghiên Cứu Hỗ Trợ Các Biện Pháp Nới Lỏng COVID-19 bao gồm cả Người Nhập Cư.</w:t>
      </w:r>
    </w:p>
    <w:p w14:paraId="4BDA190B" w14:textId="08FF9224" w:rsidR="00F243B0" w:rsidRPr="00111941" w:rsidRDefault="00F243B0" w:rsidP="00F243B0">
      <w:pPr>
        <w:pStyle w:val="ListParagraph"/>
        <w:ind w:right="1440"/>
        <w:jc w:val="center"/>
        <w:rPr>
          <w:rFonts w:asciiTheme="minorHAnsi" w:hAnsiTheme="minorHAnsi" w:cstheme="minorHAnsi"/>
          <w:i/>
          <w:lang w:val="vi-VN"/>
        </w:rPr>
      </w:pPr>
      <w:r w:rsidRPr="00111941">
        <w:rPr>
          <w:rFonts w:asciiTheme="minorHAnsi" w:hAnsiTheme="minorHAnsi" w:cstheme="minorHAnsi"/>
          <w:i/>
          <w:lang w:val="vi-VN" w:bidi="vi-VN"/>
        </w:rPr>
        <w:t xml:space="preserve">Văn Phòng Cộng Đồng &amp; Civic Life (Community &amp; Civic Life) tuyên bố hỗ trợ nghiên cứu của </w:t>
      </w:r>
    </w:p>
    <w:p w14:paraId="4F5A4D1B" w14:textId="53A714E9" w:rsidR="00F243B0" w:rsidRPr="00111941" w:rsidRDefault="00F243B0" w:rsidP="00F243B0">
      <w:pPr>
        <w:pStyle w:val="ListParagraph"/>
        <w:ind w:right="1440"/>
        <w:jc w:val="center"/>
        <w:rPr>
          <w:rFonts w:asciiTheme="minorHAnsi" w:hAnsiTheme="minorHAnsi" w:cstheme="minorHAnsi"/>
          <w:i/>
          <w:lang w:val="vi-VN"/>
        </w:rPr>
      </w:pPr>
      <w:r w:rsidRPr="00111941">
        <w:rPr>
          <w:rFonts w:asciiTheme="minorHAnsi" w:hAnsiTheme="minorHAnsi" w:cstheme="minorHAnsi"/>
          <w:i/>
          <w:lang w:val="vi-VN" w:bidi="vi-VN"/>
        </w:rPr>
        <w:t xml:space="preserve"> New American Economy </w:t>
      </w:r>
    </w:p>
    <w:p w14:paraId="2D03F535" w14:textId="77777777" w:rsidR="00F243B0" w:rsidRPr="00111941" w:rsidRDefault="00F243B0" w:rsidP="00F243B0">
      <w:pPr>
        <w:pStyle w:val="ListParagraph"/>
        <w:ind w:right="1440"/>
        <w:jc w:val="center"/>
        <w:rPr>
          <w:rFonts w:asciiTheme="minorHAnsi" w:hAnsiTheme="minorHAnsi" w:cstheme="minorHAnsi"/>
          <w:i/>
          <w:sz w:val="16"/>
          <w:szCs w:val="16"/>
          <w:lang w:val="vi-VN"/>
        </w:rPr>
      </w:pPr>
    </w:p>
    <w:p w14:paraId="564CE218" w14:textId="15C47C86" w:rsidR="00F243B0" w:rsidRPr="00111941" w:rsidRDefault="00F243B0" w:rsidP="00F243B0">
      <w:pPr>
        <w:pStyle w:val="ListParagraph"/>
        <w:ind w:right="1440"/>
        <w:rPr>
          <w:rFonts w:asciiTheme="minorHAnsi" w:hAnsiTheme="minorHAnsi" w:cstheme="minorHAnsi"/>
          <w:lang w:val="vi-VN"/>
        </w:rPr>
      </w:pPr>
      <w:r w:rsidRPr="00111941">
        <w:rPr>
          <w:rFonts w:asciiTheme="minorHAnsi" w:hAnsiTheme="minorHAnsi" w:cstheme="minorHAnsi"/>
          <w:b/>
          <w:lang w:val="vi-VN" w:bidi="vi-VN"/>
        </w:rPr>
        <w:t>Portland, Oregon</w:t>
      </w:r>
      <w:r w:rsidRPr="00111941">
        <w:rPr>
          <w:rFonts w:asciiTheme="minorHAnsi" w:hAnsiTheme="minorHAnsi" w:cstheme="minorHAnsi"/>
          <w:lang w:val="vi-VN" w:bidi="vi-VN"/>
        </w:rPr>
        <w:t xml:space="preserve"> – Kể từ khi bắt đầu đại dịch COVID-19, các nhà lãnh đạo địa phương đã làm việc không biết mệt mỏi để đảm bảo rằng tất cả các thành viên trong cộng đồng—và đặc biệt là nhóm cư dân có nguy cơ nhiễm bệnh cao nhất—được tiếp cận các dịch vụ và hỗ trợ họ cần đến. Để hỗ trợ cho những nỗ lực này của địa phương, Civic Life vui mừng công bố rằng Thành Phố Portland là một trong số 12 chính quyền địa phương và tổ chức phi lợi nhận đã được lựa chọn tiếp nhận nghiên cứu theo nhu cầu để thông tin về các biện pháp ứng phó khẩn cấp nhạy cảm về văn hóa nhằm đảm bảo bao gồm tất cả mọi công dân, bất kể tình trạng nhập cư của họ</w:t>
      </w:r>
      <w:r w:rsidR="00AC394F" w:rsidRPr="00111941">
        <w:rPr>
          <w:rFonts w:asciiTheme="minorHAnsi" w:hAnsiTheme="minorHAnsi" w:cstheme="minorHAnsi"/>
          <w:lang w:val="vi-VN" w:bidi="vi-VN"/>
        </w:rPr>
        <w:t>.</w:t>
      </w:r>
    </w:p>
    <w:p w14:paraId="11BD5FF2" w14:textId="77777777" w:rsidR="00F243B0" w:rsidRPr="00111941" w:rsidRDefault="00F243B0" w:rsidP="00F243B0">
      <w:pPr>
        <w:pStyle w:val="ListParagraph"/>
        <w:ind w:right="1440"/>
        <w:rPr>
          <w:rFonts w:asciiTheme="minorHAnsi" w:hAnsiTheme="minorHAnsi" w:cstheme="minorHAnsi"/>
          <w:sz w:val="16"/>
          <w:szCs w:val="16"/>
          <w:lang w:val="vi-VN"/>
        </w:rPr>
      </w:pPr>
    </w:p>
    <w:p w14:paraId="5E8A9207" w14:textId="7E8B338E" w:rsidR="00F243B0" w:rsidRPr="00111941" w:rsidRDefault="00F243B0" w:rsidP="00F243B0">
      <w:pPr>
        <w:pStyle w:val="ListParagraph"/>
        <w:ind w:right="1440"/>
        <w:rPr>
          <w:rFonts w:asciiTheme="minorHAnsi" w:hAnsiTheme="minorHAnsi" w:cstheme="minorHAnsi"/>
          <w:lang w:val="vi-VN"/>
        </w:rPr>
      </w:pPr>
      <w:r w:rsidRPr="00111941">
        <w:rPr>
          <w:rFonts w:asciiTheme="minorHAnsi" w:hAnsiTheme="minorHAnsi" w:cstheme="minorHAnsi"/>
          <w:lang w:val="vi-VN" w:bidi="vi-VN"/>
        </w:rPr>
        <w:t>Thành Phố Portland sẽ nhận được các báo cáo nghiên cứu theo yêu cầu miễn phí nêu bật các sắc thái về nhân khẩu học của các cộng đồng người nhập cư tại địa phương của chúng ta cũng như giúp nhận diện những thiết hụt về cung cấp dịch vụ và các thách thức điển hình đối với mỗi cộng đồ</w:t>
      </w:r>
      <w:r w:rsidR="00AC394F" w:rsidRPr="00111941">
        <w:rPr>
          <w:rFonts w:asciiTheme="minorHAnsi" w:hAnsiTheme="minorHAnsi" w:cstheme="minorHAnsi"/>
          <w:lang w:val="vi-VN" w:bidi="vi-VN"/>
        </w:rPr>
        <w:t>ng.</w:t>
      </w:r>
    </w:p>
    <w:p w14:paraId="0510F22F" w14:textId="77777777" w:rsidR="00F243B0" w:rsidRPr="00111941" w:rsidRDefault="00F243B0" w:rsidP="00F243B0">
      <w:pPr>
        <w:pStyle w:val="ListParagraph"/>
        <w:ind w:right="1440"/>
        <w:rPr>
          <w:rFonts w:asciiTheme="minorHAnsi" w:hAnsiTheme="minorHAnsi" w:cstheme="minorHAnsi"/>
          <w:sz w:val="16"/>
          <w:szCs w:val="16"/>
          <w:lang w:val="vi-VN"/>
        </w:rPr>
      </w:pPr>
    </w:p>
    <w:p w14:paraId="20370D82" w14:textId="385EE05A" w:rsidR="00F243B0" w:rsidRPr="00111941" w:rsidRDefault="00F243B0" w:rsidP="00F243B0">
      <w:pPr>
        <w:pStyle w:val="ListParagraph"/>
        <w:ind w:right="1440"/>
        <w:rPr>
          <w:rFonts w:asciiTheme="minorHAnsi" w:hAnsiTheme="minorHAnsi" w:cstheme="minorHAnsi"/>
          <w:lang w:val="vi-VN"/>
        </w:rPr>
      </w:pPr>
      <w:r w:rsidRPr="00111941">
        <w:rPr>
          <w:rFonts w:asciiTheme="minorHAnsi" w:hAnsiTheme="minorHAnsi" w:cstheme="minorHAnsi"/>
          <w:lang w:val="vi-VN" w:bidi="vi-VN"/>
        </w:rPr>
        <w:t>Nghiên cứu này sẽ được sử dụng để hỗ trợ các nỗ lực chiến lược cho những sáng kiến ứng phó khẩn cấp bao gồm cả người nhập cư trong lúc Thành Phố vừa tiếp tục giải quyết các tác động của COVID-19 vừa đáp ứng các mục tiêu về công bằ</w:t>
      </w:r>
      <w:r w:rsidR="00AC394F" w:rsidRPr="00111941">
        <w:rPr>
          <w:rFonts w:asciiTheme="minorHAnsi" w:hAnsiTheme="minorHAnsi" w:cstheme="minorHAnsi"/>
          <w:lang w:val="vi-VN" w:bidi="vi-VN"/>
        </w:rPr>
        <w:t>ng.</w:t>
      </w:r>
    </w:p>
    <w:p w14:paraId="7DFF779F" w14:textId="77777777" w:rsidR="00F243B0" w:rsidRPr="00111941" w:rsidRDefault="00F243B0" w:rsidP="00F243B0">
      <w:pPr>
        <w:pStyle w:val="ListParagraph"/>
        <w:ind w:right="1440"/>
        <w:rPr>
          <w:rFonts w:asciiTheme="minorHAnsi" w:hAnsiTheme="minorHAnsi" w:cstheme="minorHAnsi"/>
          <w:sz w:val="16"/>
          <w:szCs w:val="16"/>
          <w:lang w:val="vi-VN"/>
        </w:rPr>
      </w:pPr>
    </w:p>
    <w:p w14:paraId="7B0E073E" w14:textId="3DCA8B1E" w:rsidR="00F243B0" w:rsidRPr="00111941" w:rsidRDefault="00F243B0" w:rsidP="00F243B0">
      <w:pPr>
        <w:pStyle w:val="ListParagraph"/>
        <w:ind w:right="1440"/>
        <w:rPr>
          <w:rFonts w:asciiTheme="minorHAnsi" w:hAnsiTheme="minorHAnsi" w:cstheme="minorHAnsi"/>
          <w:lang w:val="vi-VN"/>
        </w:rPr>
      </w:pPr>
      <w:bookmarkStart w:id="0" w:name="_Hlk40337540"/>
      <w:r w:rsidRPr="00111941">
        <w:rPr>
          <w:rFonts w:asciiTheme="minorHAnsi" w:hAnsiTheme="minorHAnsi" w:cstheme="minorHAnsi"/>
          <w:lang w:val="vi-VN" w:bidi="vi-VN"/>
        </w:rPr>
        <w:t>Ủy Viên Hội Đồng Chloe Eudaly đã phát biểu: “Khủng hoảng COVID-19 đã cho thấy việc chia sẻ thông tin theo nền văn hóa cụ thể một cách kịp thời có ý nghĩa sống còn như thế nào—chúng ta cần mỗi người dân Portland đều được tiếp cận những thông tin cứu sống và biện pháp hỗ trợ xã hội”. “Nghiên cứu của New American Economy này sẽ hỗ trợ cho các nỗ lực của chúng tôi trong việc tiếp cận hiệu quả những cộng đồng người nhập cư của Portland và thu hẹp khoảng cách trong các chương trình liên bang.”</w:t>
      </w:r>
    </w:p>
    <w:bookmarkEnd w:id="0"/>
    <w:p w14:paraId="48BBDA14" w14:textId="69A9FF6A" w:rsidR="00F243B0" w:rsidRPr="00111941" w:rsidRDefault="00F243B0" w:rsidP="00F243B0">
      <w:pPr>
        <w:pStyle w:val="ListParagraph"/>
        <w:ind w:right="1440"/>
        <w:rPr>
          <w:rFonts w:asciiTheme="minorHAnsi" w:hAnsiTheme="minorHAnsi" w:cstheme="minorHAnsi"/>
          <w:sz w:val="18"/>
          <w:szCs w:val="18"/>
          <w:lang w:val="vi-VN"/>
        </w:rPr>
      </w:pPr>
    </w:p>
    <w:p w14:paraId="39B870A8" w14:textId="3C6F2AE5" w:rsidR="00F243B0" w:rsidRPr="00111941" w:rsidRDefault="001079FF" w:rsidP="00F243B0">
      <w:pPr>
        <w:pStyle w:val="ListParagraph"/>
        <w:ind w:right="1440"/>
        <w:rPr>
          <w:rFonts w:asciiTheme="minorHAnsi" w:hAnsiTheme="minorHAnsi" w:cstheme="minorHAnsi"/>
          <w:lang w:val="vi-VN"/>
        </w:rPr>
      </w:pPr>
      <w:hyperlink r:id="rId8" w:history="1">
        <w:r w:rsidR="00F243B0" w:rsidRPr="00111941">
          <w:rPr>
            <w:rStyle w:val="Hyperlink"/>
            <w:rFonts w:asciiTheme="minorHAnsi" w:hAnsiTheme="minorHAnsi" w:cstheme="minorHAnsi"/>
            <w:lang w:val="vi-VN" w:bidi="vi-VN"/>
          </w:rPr>
          <w:t>Quý vị có thể tìm thấy danh sách đầy đủ về các bên tiếp nhận nghiên cứu và có thể tìm thấy thông tin bổ sung về New American Economy tại đây</w:t>
        </w:r>
      </w:hyperlink>
      <w:r w:rsidR="00AC394F" w:rsidRPr="00111941">
        <w:rPr>
          <w:rFonts w:asciiTheme="minorHAnsi" w:hAnsiTheme="minorHAnsi" w:cstheme="minorHAnsi"/>
          <w:lang w:val="vi-VN" w:bidi="vi-VN"/>
        </w:rPr>
        <w:t>.</w:t>
      </w:r>
    </w:p>
    <w:p w14:paraId="27ECAB7F" w14:textId="3D7BFF2E" w:rsidR="00F243B0" w:rsidRPr="00111941" w:rsidRDefault="00F243B0" w:rsidP="00F243B0">
      <w:pPr>
        <w:pStyle w:val="ListParagraph"/>
        <w:ind w:right="1440"/>
        <w:rPr>
          <w:rFonts w:asciiTheme="minorHAnsi" w:hAnsiTheme="minorHAnsi" w:cstheme="minorHAnsi"/>
          <w:sz w:val="16"/>
          <w:szCs w:val="16"/>
          <w:lang w:val="vi-VN"/>
        </w:rPr>
      </w:pPr>
    </w:p>
    <w:p w14:paraId="58F94B98" w14:textId="77777777" w:rsidR="00F243B0" w:rsidRPr="00111941" w:rsidRDefault="00F243B0" w:rsidP="00F243B0">
      <w:pPr>
        <w:pStyle w:val="ListParagraph"/>
        <w:ind w:right="1440"/>
        <w:rPr>
          <w:rFonts w:asciiTheme="minorHAnsi" w:hAnsiTheme="minorHAnsi" w:cstheme="minorHAnsi"/>
          <w:i/>
          <w:sz w:val="16"/>
          <w:szCs w:val="16"/>
          <w:lang w:val="vi-VN"/>
        </w:rPr>
      </w:pPr>
    </w:p>
    <w:p w14:paraId="7EFFCCD5" w14:textId="77777777" w:rsidR="00F243B0" w:rsidRPr="00111941" w:rsidRDefault="00F243B0" w:rsidP="00F243B0">
      <w:pPr>
        <w:pStyle w:val="ListParagraph"/>
        <w:ind w:right="1440"/>
        <w:rPr>
          <w:rFonts w:asciiTheme="minorHAnsi" w:hAnsiTheme="minorHAnsi" w:cstheme="minorHAnsi"/>
          <w:i/>
          <w:sz w:val="16"/>
          <w:szCs w:val="16"/>
          <w:lang w:val="vi-VN"/>
        </w:rPr>
      </w:pPr>
    </w:p>
    <w:p w14:paraId="6E80D32A" w14:textId="0FCD5E1F" w:rsidR="00D32CFB" w:rsidRPr="00111941" w:rsidRDefault="00F243B0" w:rsidP="00AC394F">
      <w:pPr>
        <w:pStyle w:val="ListParagraph"/>
        <w:ind w:right="1440"/>
        <w:jc w:val="center"/>
        <w:rPr>
          <w:rFonts w:asciiTheme="minorHAnsi" w:hAnsiTheme="minorHAnsi" w:cstheme="minorHAnsi"/>
          <w:lang w:val="vi-VN"/>
        </w:rPr>
      </w:pPr>
      <w:r w:rsidRPr="00111941">
        <w:rPr>
          <w:rFonts w:asciiTheme="minorHAnsi" w:hAnsiTheme="minorHAnsi" w:cstheme="minorHAnsi"/>
          <w:i/>
          <w:lang w:val="vi-VN" w:bidi="vi-VN"/>
        </w:rPr>
        <w:t>###</w:t>
      </w:r>
    </w:p>
    <w:sectPr w:rsidR="00D32CFB" w:rsidRPr="00111941" w:rsidSect="009E09B8">
      <w:headerReference w:type="default" r:id="rId9"/>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27CD" w14:textId="77777777" w:rsidR="001079FF" w:rsidRDefault="001079FF" w:rsidP="00D32CFB">
      <w:pPr>
        <w:spacing w:after="0" w:line="240" w:lineRule="auto"/>
      </w:pPr>
      <w:r>
        <w:separator/>
      </w:r>
    </w:p>
  </w:endnote>
  <w:endnote w:type="continuationSeparator" w:id="0">
    <w:p w14:paraId="2C1A8E71" w14:textId="77777777" w:rsidR="001079FF" w:rsidRDefault="001079FF"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4C4C" w14:textId="77777777" w:rsidR="001079FF" w:rsidRDefault="001079FF" w:rsidP="00D32CFB">
      <w:pPr>
        <w:spacing w:after="0" w:line="240" w:lineRule="auto"/>
      </w:pPr>
      <w:r>
        <w:separator/>
      </w:r>
    </w:p>
  </w:footnote>
  <w:footnote w:type="continuationSeparator" w:id="0">
    <w:p w14:paraId="32209E3E" w14:textId="77777777" w:rsidR="001079FF" w:rsidRDefault="001079FF" w:rsidP="00D3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6637" w14:textId="30B98E91" w:rsidR="00D32CFB" w:rsidRDefault="00D32CFB">
    <w:pPr>
      <w:pStyle w:val="Header"/>
    </w:pPr>
    <w:r>
      <w:rPr>
        <w:noProof/>
        <w:lang w:eastAsia="zh-TW"/>
      </w:rPr>
      <w:drawing>
        <wp:inline distT="0" distB="0" distL="0" distR="0" wp14:anchorId="6FF413E9" wp14:editId="092F9EC4">
          <wp:extent cx="2743200" cy="976751"/>
          <wp:effectExtent l="0" t="0" r="0" b="0"/>
          <wp:docPr id="1" name="Picture 1"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Q0MDKxMDIxtbBU0lEKTi0uzszPAykwrAUAuaCdIiwAAAA="/>
  </w:docVars>
  <w:rsids>
    <w:rsidRoot w:val="00994814"/>
    <w:rsid w:val="00020740"/>
    <w:rsid w:val="0002623E"/>
    <w:rsid w:val="00034098"/>
    <w:rsid w:val="000574F8"/>
    <w:rsid w:val="00091E95"/>
    <w:rsid w:val="000F48AD"/>
    <w:rsid w:val="001079FF"/>
    <w:rsid w:val="00111941"/>
    <w:rsid w:val="0013442C"/>
    <w:rsid w:val="001A5486"/>
    <w:rsid w:val="001B7DFD"/>
    <w:rsid w:val="001F7217"/>
    <w:rsid w:val="00205382"/>
    <w:rsid w:val="00217072"/>
    <w:rsid w:val="00243465"/>
    <w:rsid w:val="00267D38"/>
    <w:rsid w:val="00280D38"/>
    <w:rsid w:val="002C5B21"/>
    <w:rsid w:val="002F23C0"/>
    <w:rsid w:val="003111B5"/>
    <w:rsid w:val="00325FA6"/>
    <w:rsid w:val="00387C38"/>
    <w:rsid w:val="003A7503"/>
    <w:rsid w:val="003C6E00"/>
    <w:rsid w:val="003F2A1D"/>
    <w:rsid w:val="00436C7B"/>
    <w:rsid w:val="00437377"/>
    <w:rsid w:val="004432D2"/>
    <w:rsid w:val="004556E2"/>
    <w:rsid w:val="00457157"/>
    <w:rsid w:val="00470913"/>
    <w:rsid w:val="00475D19"/>
    <w:rsid w:val="00480F2C"/>
    <w:rsid w:val="004D6E1C"/>
    <w:rsid w:val="004E4E00"/>
    <w:rsid w:val="005022C3"/>
    <w:rsid w:val="00522B0D"/>
    <w:rsid w:val="00523307"/>
    <w:rsid w:val="005324B2"/>
    <w:rsid w:val="00536977"/>
    <w:rsid w:val="005671FD"/>
    <w:rsid w:val="005F7F9F"/>
    <w:rsid w:val="00613074"/>
    <w:rsid w:val="006168B2"/>
    <w:rsid w:val="006321CC"/>
    <w:rsid w:val="006423CB"/>
    <w:rsid w:val="006D6362"/>
    <w:rsid w:val="00706251"/>
    <w:rsid w:val="007210C8"/>
    <w:rsid w:val="00773C32"/>
    <w:rsid w:val="0077518F"/>
    <w:rsid w:val="007C4EAE"/>
    <w:rsid w:val="007E68B6"/>
    <w:rsid w:val="007E7A1E"/>
    <w:rsid w:val="007F0879"/>
    <w:rsid w:val="007F4781"/>
    <w:rsid w:val="00831C39"/>
    <w:rsid w:val="00835EC4"/>
    <w:rsid w:val="008C71B4"/>
    <w:rsid w:val="008D777E"/>
    <w:rsid w:val="008E0247"/>
    <w:rsid w:val="008F3087"/>
    <w:rsid w:val="008F37E1"/>
    <w:rsid w:val="008F5671"/>
    <w:rsid w:val="009314E8"/>
    <w:rsid w:val="009440D9"/>
    <w:rsid w:val="009449E4"/>
    <w:rsid w:val="00962917"/>
    <w:rsid w:val="00984545"/>
    <w:rsid w:val="00994814"/>
    <w:rsid w:val="009E09B8"/>
    <w:rsid w:val="00A02528"/>
    <w:rsid w:val="00A355E5"/>
    <w:rsid w:val="00A928BF"/>
    <w:rsid w:val="00AC394F"/>
    <w:rsid w:val="00AD180D"/>
    <w:rsid w:val="00B02F7C"/>
    <w:rsid w:val="00B61FDA"/>
    <w:rsid w:val="00B72FF3"/>
    <w:rsid w:val="00B73FE2"/>
    <w:rsid w:val="00B806A5"/>
    <w:rsid w:val="00BB758C"/>
    <w:rsid w:val="00BC7BB8"/>
    <w:rsid w:val="00C02729"/>
    <w:rsid w:val="00C03E05"/>
    <w:rsid w:val="00C41B4E"/>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E2032"/>
    <w:rsid w:val="00DE5A8E"/>
    <w:rsid w:val="00E37F86"/>
    <w:rsid w:val="00E76CC3"/>
    <w:rsid w:val="00E812B2"/>
    <w:rsid w:val="00E96667"/>
    <w:rsid w:val="00ED2274"/>
    <w:rsid w:val="00EE768E"/>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customStyle="1" w:styleId="UnresolvedMention1">
    <w:name w:val="Unresolved Mention1"/>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neconomy.org/press-release/twelve-local-communities-awarded-research-to-support-immigrant-inclusive-emergency-respo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cp:lastPrinted>2020-04-22T20:07:00Z</cp:lastPrinted>
  <dcterms:created xsi:type="dcterms:W3CDTF">2020-05-14T16:37:00Z</dcterms:created>
  <dcterms:modified xsi:type="dcterms:W3CDTF">2020-05-18T12:39:00Z</dcterms:modified>
</cp:coreProperties>
</file>